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22" w:rsidRPr="00B17AA5" w:rsidRDefault="00B17AA5" w:rsidP="00B17AA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7AA5">
        <w:rPr>
          <w:rFonts w:ascii="Times New Roman" w:hAnsi="Times New Roman" w:cs="Times New Roman"/>
          <w:sz w:val="28"/>
          <w:szCs w:val="28"/>
          <w:u w:val="single"/>
        </w:rPr>
        <w:t>Материально – техническое оснащение зоны отдыха</w:t>
      </w:r>
    </w:p>
    <w:p w:rsidR="00B17AA5" w:rsidRPr="00B17AA5" w:rsidRDefault="00B17AA5" w:rsidP="00B17AA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7AA5">
        <w:rPr>
          <w:rFonts w:ascii="Times New Roman" w:hAnsi="Times New Roman" w:cs="Times New Roman"/>
          <w:sz w:val="28"/>
          <w:szCs w:val="28"/>
          <w:u w:val="single"/>
        </w:rPr>
        <w:t>Центра «Точка роста»</w:t>
      </w:r>
    </w:p>
    <w:p w:rsidR="00B17AA5" w:rsidRDefault="00B17AA5" w:rsidP="00B17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1.Стол мобильный трапециевидный – 4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AA5" w:rsidRDefault="00B17AA5" w:rsidP="00B17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2.Стул с пластиковым монолитным сидением – 15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B17AA5" w:rsidRDefault="00B17AA5" w:rsidP="00B17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3.Стол шахматный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bookmarkStart w:id="0" w:name="_GoBack"/>
      <w:bookmarkEnd w:id="0"/>
      <w:proofErr w:type="spellEnd"/>
    </w:p>
    <w:p w:rsidR="00B17AA5" w:rsidRDefault="00B17AA5" w:rsidP="00B17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4.Стул,</w:t>
      </w:r>
      <w:r w:rsidR="00AC3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ЛДСП – 4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B17AA5" w:rsidRDefault="00B17AA5" w:rsidP="00B17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5.Банкетка полумягкая – 3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B17AA5" w:rsidRDefault="00B17AA5" w:rsidP="00B17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6.Пуф-куб – 4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B17AA5" w:rsidRDefault="00B17AA5" w:rsidP="00B17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7.Полудиван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B17AA5" w:rsidRPr="00B17AA5" w:rsidRDefault="00B17AA5" w:rsidP="00B17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8.Доска магнитно – маркерная -1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sectPr w:rsidR="00B17AA5" w:rsidRPr="00B17AA5" w:rsidSect="0000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138"/>
    <w:rsid w:val="000059B4"/>
    <w:rsid w:val="00150138"/>
    <w:rsid w:val="00AC3E24"/>
    <w:rsid w:val="00B17AA5"/>
    <w:rsid w:val="00F8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2022-11-28T16:40:00Z</dcterms:created>
  <dcterms:modified xsi:type="dcterms:W3CDTF">2022-12-02T09:25:00Z</dcterms:modified>
</cp:coreProperties>
</file>